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05D41" w14:textId="77777777" w:rsidR="00D4715D" w:rsidRDefault="004511B6" w:rsidP="00D4715D">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D4715D">
        <w:rPr>
          <w:rFonts w:ascii="Times New Roman" w:eastAsia="Times New Roman" w:hAnsi="Times New Roman" w:cs="Times New Roman"/>
          <w:b/>
        </w:rPr>
        <w:t>Приложение к ООП ООО</w:t>
      </w:r>
    </w:p>
    <w:p w14:paraId="11764A47" w14:textId="77777777" w:rsidR="00D4715D" w:rsidRDefault="00D4715D" w:rsidP="00D4715D">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«СОШ№7 </w:t>
      </w:r>
      <w:proofErr w:type="spellStart"/>
      <w:r>
        <w:rPr>
          <w:rFonts w:ascii="Times New Roman" w:eastAsia="Times New Roman" w:hAnsi="Times New Roman" w:cs="Times New Roman"/>
          <w:b/>
        </w:rPr>
        <w:t>г.Шали</w:t>
      </w:r>
      <w:proofErr w:type="spellEnd"/>
      <w:r>
        <w:rPr>
          <w:rFonts w:ascii="Times New Roman" w:eastAsia="Times New Roman" w:hAnsi="Times New Roman" w:cs="Times New Roman"/>
          <w:b/>
        </w:rPr>
        <w:t>»</w:t>
      </w:r>
    </w:p>
    <w:p w14:paraId="701927BD" w14:textId="483701D9" w:rsidR="004511B6" w:rsidRDefault="00D4715D" w:rsidP="00D4715D">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Pr>
          <w:rFonts w:ascii="Times New Roman" w:eastAsia="Times New Roman" w:hAnsi="Times New Roman" w:cs="Times New Roman"/>
          <w:b/>
        </w:rPr>
        <w:t xml:space="preserve">                                                                                         </w:t>
      </w:r>
      <w:bookmarkStart w:id="0" w:name="_GoBack"/>
      <w:bookmarkEnd w:id="0"/>
      <w:r w:rsidR="004511B6">
        <w:rPr>
          <w:rFonts w:ascii="Times New Roman" w:eastAsia="Times New Roman" w:hAnsi="Times New Roman" w:cs="Times New Roman"/>
          <w:b/>
        </w:rPr>
        <w:t xml:space="preserve">                                                                                        </w:t>
      </w:r>
    </w:p>
    <w:p w14:paraId="7DCC56F1" w14:textId="77777777" w:rsidR="00D4715D" w:rsidRDefault="00D4715D" w:rsidP="00D4715D">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40541">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lastRenderedPageBreak/>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lastRenderedPageBreak/>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1" w:name="_Hlk175837243"/>
      <w:bookmarkStart w:id="2"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r w:rsidRPr="003A3AC8">
        <w:rPr>
          <w:rFonts w:ascii="Times New Roman" w:hAnsi="Times New Roman" w:cs="Times New Roman"/>
          <w:b/>
          <w:spacing w:val="-2"/>
          <w:sz w:val="24"/>
        </w:rPr>
        <w:t>.</w:t>
      </w:r>
      <w:bookmarkEnd w:id="2"/>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lastRenderedPageBreak/>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Контрольное</w:t>
            </w:r>
            <w:proofErr w:type="spellEnd"/>
            <w:r w:rsidRPr="00A468AD">
              <w:rPr>
                <w:rFonts w:ascii="Times New Roman" w:eastAsia="Times New Roman" w:hAnsi="Times New Roman" w:cs="Times New Roman"/>
                <w:b/>
                <w:spacing w:val="-52"/>
                <w:sz w:val="24"/>
                <w:szCs w:val="24"/>
              </w:rPr>
              <w:t xml:space="preserve"> </w:t>
            </w:r>
            <w:proofErr w:type="spellStart"/>
            <w:r w:rsidRPr="00A468AD">
              <w:rPr>
                <w:rFonts w:ascii="Times New Roman" w:eastAsia="Times New Roman" w:hAnsi="Times New Roman" w:cs="Times New Roman"/>
                <w:b/>
                <w:sz w:val="24"/>
                <w:szCs w:val="24"/>
              </w:rPr>
              <w:t>мероприятие</w:t>
            </w:r>
            <w:proofErr w:type="spellEnd"/>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Тип</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контроля</w:t>
            </w:r>
            <w:proofErr w:type="spellEnd"/>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Срок</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проведения</w:t>
            </w:r>
            <w:proofErr w:type="spellEnd"/>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Классы</w:t>
            </w:r>
            <w:proofErr w:type="spellEnd"/>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Проверка</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домашнего</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задания</w:t>
            </w:r>
            <w:proofErr w:type="spellEnd"/>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Текущий</w:t>
            </w:r>
            <w:proofErr w:type="spellEnd"/>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На</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каждом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уроке</w:t>
            </w:r>
            <w:proofErr w:type="spellEnd"/>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Письменный</w:t>
            </w:r>
            <w:proofErr w:type="spellEnd"/>
            <w:r w:rsidRPr="00A468AD">
              <w:rPr>
                <w:rFonts w:ascii="Times New Roman" w:eastAsia="Times New Roman" w:hAnsi="Times New Roman" w:cs="Times New Roman"/>
                <w:spacing w:val="-3"/>
                <w:sz w:val="24"/>
                <w:szCs w:val="24"/>
              </w:rPr>
              <w:t xml:space="preserve"> </w:t>
            </w:r>
            <w:proofErr w:type="spellStart"/>
            <w:r w:rsidRPr="00A468AD">
              <w:rPr>
                <w:rFonts w:ascii="Times New Roman" w:eastAsia="Times New Roman" w:hAnsi="Times New Roman" w:cs="Times New Roman"/>
                <w:sz w:val="24"/>
                <w:szCs w:val="24"/>
              </w:rPr>
              <w:t>контроль</w:t>
            </w:r>
            <w:proofErr w:type="spellEnd"/>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раздела</w:t>
            </w:r>
            <w:proofErr w:type="spellEnd"/>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proofErr w:type="spellStart"/>
            <w:r w:rsidRPr="00A468AD">
              <w:rPr>
                <w:rFonts w:ascii="Times New Roman" w:eastAsia="Times New Roman" w:hAnsi="Times New Roman" w:cs="Times New Roman"/>
                <w:sz w:val="24"/>
                <w:szCs w:val="24"/>
              </w:rPr>
              <w:t>работа</w:t>
            </w:r>
            <w:proofErr w:type="spellEnd"/>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Итоговый</w:t>
            </w:r>
            <w:proofErr w:type="spellEnd"/>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3"/>
    </w:tbl>
    <w:p w14:paraId="585E8ADF" w14:textId="77777777" w:rsidR="00A468AD" w:rsidRPr="00A468AD" w:rsidRDefault="00A468AD" w:rsidP="00A468AD"/>
    <w:sectPr w:rsidR="00A468AD" w:rsidRPr="00A468AD"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5D9E5" w14:textId="77777777" w:rsidR="006312BF" w:rsidRDefault="006312BF" w:rsidP="00A60CE5">
      <w:pPr>
        <w:spacing w:after="0" w:line="240" w:lineRule="auto"/>
      </w:pPr>
      <w:r>
        <w:separator/>
      </w:r>
    </w:p>
  </w:endnote>
  <w:endnote w:type="continuationSeparator" w:id="0">
    <w:p w14:paraId="78943949" w14:textId="77777777" w:rsidR="006312BF" w:rsidRDefault="006312BF"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E6B0A" w14:textId="77777777" w:rsidR="006312BF" w:rsidRDefault="006312BF" w:rsidP="00A60CE5">
      <w:pPr>
        <w:spacing w:after="0" w:line="240" w:lineRule="auto"/>
      </w:pPr>
      <w:r>
        <w:separator/>
      </w:r>
    </w:p>
  </w:footnote>
  <w:footnote w:type="continuationSeparator" w:id="0">
    <w:p w14:paraId="39EFB86F" w14:textId="77777777" w:rsidR="006312BF" w:rsidRDefault="006312BF"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414A3"/>
    <w:rsid w:val="001F62AC"/>
    <w:rsid w:val="002015DD"/>
    <w:rsid w:val="00232BA9"/>
    <w:rsid w:val="00240541"/>
    <w:rsid w:val="002472DA"/>
    <w:rsid w:val="002A070A"/>
    <w:rsid w:val="002B130A"/>
    <w:rsid w:val="002B5AB3"/>
    <w:rsid w:val="002C2585"/>
    <w:rsid w:val="002D2472"/>
    <w:rsid w:val="003272F4"/>
    <w:rsid w:val="00346A66"/>
    <w:rsid w:val="0039681F"/>
    <w:rsid w:val="003A3AC8"/>
    <w:rsid w:val="003A6E9E"/>
    <w:rsid w:val="003B776E"/>
    <w:rsid w:val="003C7431"/>
    <w:rsid w:val="003E0446"/>
    <w:rsid w:val="003E161B"/>
    <w:rsid w:val="003F5F0E"/>
    <w:rsid w:val="0041190D"/>
    <w:rsid w:val="004511B6"/>
    <w:rsid w:val="00476158"/>
    <w:rsid w:val="00487546"/>
    <w:rsid w:val="004C21B4"/>
    <w:rsid w:val="004E2B62"/>
    <w:rsid w:val="005075B2"/>
    <w:rsid w:val="00563BA5"/>
    <w:rsid w:val="00581365"/>
    <w:rsid w:val="005D0ECD"/>
    <w:rsid w:val="005D2C74"/>
    <w:rsid w:val="005F3E3B"/>
    <w:rsid w:val="006312BF"/>
    <w:rsid w:val="006528EC"/>
    <w:rsid w:val="006557E7"/>
    <w:rsid w:val="006723A9"/>
    <w:rsid w:val="00676699"/>
    <w:rsid w:val="0068665B"/>
    <w:rsid w:val="006B5246"/>
    <w:rsid w:val="007017E5"/>
    <w:rsid w:val="00724E4C"/>
    <w:rsid w:val="007344C6"/>
    <w:rsid w:val="007713B8"/>
    <w:rsid w:val="0078171E"/>
    <w:rsid w:val="00783D5E"/>
    <w:rsid w:val="007A1957"/>
    <w:rsid w:val="007B034A"/>
    <w:rsid w:val="00811E6F"/>
    <w:rsid w:val="00816C9D"/>
    <w:rsid w:val="00860CF8"/>
    <w:rsid w:val="0087128B"/>
    <w:rsid w:val="008735E7"/>
    <w:rsid w:val="008C7A0B"/>
    <w:rsid w:val="008F7993"/>
    <w:rsid w:val="00910040"/>
    <w:rsid w:val="00925DE6"/>
    <w:rsid w:val="009711BA"/>
    <w:rsid w:val="00986D3F"/>
    <w:rsid w:val="009C1B62"/>
    <w:rsid w:val="00A159CD"/>
    <w:rsid w:val="00A267EF"/>
    <w:rsid w:val="00A468AD"/>
    <w:rsid w:val="00A60CE5"/>
    <w:rsid w:val="00A958F0"/>
    <w:rsid w:val="00A96FCB"/>
    <w:rsid w:val="00AA00DD"/>
    <w:rsid w:val="00B41F6D"/>
    <w:rsid w:val="00B47B07"/>
    <w:rsid w:val="00B625E2"/>
    <w:rsid w:val="00B63D95"/>
    <w:rsid w:val="00B81094"/>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4715D"/>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CEA23-A90D-4A76-9EF8-F7E15B1D4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5</Pages>
  <Words>1338</Words>
  <Characters>7632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64</cp:revision>
  <dcterms:created xsi:type="dcterms:W3CDTF">2024-07-06T09:58:00Z</dcterms:created>
  <dcterms:modified xsi:type="dcterms:W3CDTF">2024-12-25T05:32:00Z</dcterms:modified>
</cp:coreProperties>
</file>